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rPr>
          <w:b w:val="1"/>
          <w:sz w:val="24"/>
          <w:szCs w:val="24"/>
          <w:vertAlign w:val="baseline"/>
          <w:rtl w:val="0"/>
        </w:rPr>
        <w:t xml:space="preserve">D E E D   O F   A S S I G N M E N T   O F   D E B 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THIS DEED OF ASSIGNMENT</w:t>
      </w:r>
      <w:r w:rsidDel="00000000" w:rsidR="00000000" w:rsidRPr="00000000">
        <w:rPr>
          <w:sz w:val="24"/>
          <w:szCs w:val="24"/>
          <w:vertAlign w:val="baseline"/>
          <w:rtl w:val="0"/>
        </w:rPr>
        <w:t xml:space="preserve"> is made the                          day of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BETWEEN: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all care of via </w:t>
      </w: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(hereinafter referred to as “the Assignors” which expression shall mean each of them severally and all of them jointly and shall where the context so admits include their respective personal representatives and assigns) of the first part;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of P O Box </w:t>
      </w: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Kenya (hereinafter referred to as </w:t>
      </w: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which expression shall where the context so admits include his personal representatives and assigns) of the second part;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a limited liability company incorporated in the Republic of Kenya and of P O Box ………… Kenya (“hereinafter referred to as “the Company” which expression shall where the context so admits include its successors and assigns) of the third part;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of care of P O Box </w:t>
      </w: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Kenya (hereinafter referred to as “</w:t>
      </w: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which expression shall where the context so admits include her personal representatives and assigns) of the fourth part; AND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a limited liability company incorporated in the </w:t>
      </w: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and of care of P O Box </w:t>
      </w: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Kenya (hereinafter referred to as “the Assignee” which expression shall where the context so admits include its successors and assigns) of the final part.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WHEREAS :</w:t>
        <w:br w:type="textWrapp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Assignors have at the specific request of </w:t>
      </w: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jointly and severally made loans to the Company from time to time of a total amount of Kenya Shillings ……</w:t>
      </w:r>
      <w:r w:rsidDel="00000000" w:rsidR="00000000" w:rsidRPr="00000000">
        <w:rPr>
          <w:rFonts w:ascii="Times New Roman" w:cs="Times New Roman" w:eastAsia="Times New Roman" w:hAnsi="Times New Roman"/>
          <w:sz w:val="24"/>
          <w:szCs w:val="24"/>
          <w:highlight w:val="yellow"/>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(“the Debt” which expression shall mean all or any part of the said total amount and includes any interest thereon  and any costs charges and expenses in connection therewith) further particulars of which are set out below and in the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highlight w:val="yellow"/>
          <w:vertAlign w:val="baseline"/>
        </w:rPr>
      </w:pPr>
      <w:r w:rsidDel="00000000" w:rsidR="00000000" w:rsidRPr="00000000">
        <w:rPr>
          <w:b w:val="1"/>
          <w:sz w:val="28"/>
          <w:szCs w:val="28"/>
          <w:vertAlign w:val="baseline"/>
          <w:rtl w:val="0"/>
        </w:rPr>
        <w:t xml:space="preserve">DATED THE                  DAY OF                              </w:t>
      </w:r>
      <w:r w:rsidDel="00000000" w:rsidR="00000000" w:rsidRPr="00000000">
        <w:rPr>
          <w:b w:val="1"/>
          <w:sz w:val="28"/>
          <w:szCs w:val="28"/>
          <w:highlight w:val="yellow"/>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highlight w:val="yellow"/>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highlight w:val="yellow"/>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highlight w:val="yellow"/>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highlight w:val="yellow"/>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highlight w:val="yellow"/>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highlight w:val="yellow"/>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highlight w:val="yellow"/>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highlight w:val="yellow"/>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highlight w:val="yellow"/>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highlight w:val="yellow"/>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highlight w:val="yellow"/>
          <w:vertAlign w:val="baseline"/>
        </w:rPr>
      </w:pPr>
      <w:r w:rsidDel="00000000" w:rsidR="00000000" w:rsidRPr="00000000">
        <w:rPr>
          <w:rtl w:val="0"/>
        </w:rPr>
      </w:r>
    </w:p>
    <w:sectPr>
      <w:pgSz w:h="16834" w:w="11909"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Times New Roman" w:cs="Times New Roman" w:eastAsia="Times New Roman" w:hAnsi="Times New Roman"/>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2160" w:right="-1" w:hanging="0.9999999999999432"/>
      <w:jc w:val="both"/>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