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LEAGUE PLAYER’S CONTRACT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AN AGREEMENT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made this .........................day of ......................................................., 2000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BETWEEN:-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......................................................................RFC of P.O. Box ............................................................ (hereinafter referred to as “the Club”);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(2)  ......................................................................of  P.O. Box ..................................................................a Football League Player (hereinafter referred to as “the Player”).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The Football League is hereinafter referred to as “the League”.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“Club Official” shall mean the properly appointed Chairman/Secretary/Manager/Coach or Chief Executive.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“Bye Laws” shall mean the </w:t>
      </w:r>
    </w:p>
    <w:sectPr>
      <w:footerReference r:id="rId6" w:type="default"/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" w:right="-1" w:hanging="1"/>
      <w:rPr>
        <w:rFonts w:ascii="Times New Roman" w:cs="Times New Roman" w:eastAsia="Times New Roman" w:hAnsi="Times New Roman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baseline"/>
        <w:rtl w:val="0"/>
      </w:rPr>
      <w:t xml:space="preserve">PAGE  4</w:t>
      <w:br w:type="textWrapping"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both"/>
    </w:pPr>
    <w:rPr>
      <w:rFonts w:ascii="Tahoma" w:cs="Tahoma" w:eastAsia="Tahoma" w:hAnsi="Tahom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="240" w:lineRule="auto"/>
      <w:ind w:left="-1" w:right="-1" w:hanging="1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="240" w:lineRule="auto"/>
      <w:ind w:left="-1" w:right="-1" w:hanging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="240" w:lineRule="auto"/>
      <w:ind w:left="-1" w:right="-1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="240" w:lineRule="auto"/>
      <w:ind w:left="-1" w:right="-1" w:hanging="1"/>
      <w:jc w:val="left"/>
    </w:pPr>
    <w:rPr>
      <w:rFonts w:ascii="Tahoma" w:cs="Tahoma" w:eastAsia="Tahoma" w:hAnsi="Tahom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="240" w:lineRule="auto"/>
      <w:ind w:left="-1" w:right="-1" w:hanging="1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